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1F" w:rsidRPr="0005611F" w:rsidRDefault="0005611F" w:rsidP="0005611F">
      <w:pPr>
        <w:widowControl/>
        <w:autoSpaceDE/>
        <w:autoSpaceDN/>
        <w:adjustRightInd/>
        <w:spacing w:before="100" w:beforeAutospacing="1" w:after="100" w:afterAutospacing="1"/>
        <w:outlineLvl w:val="0"/>
        <w:rPr>
          <w:rFonts w:eastAsia="Times New Roman" w:cs="Times New Roman"/>
          <w:b/>
          <w:bCs/>
          <w:kern w:val="36"/>
          <w:sz w:val="48"/>
          <w:szCs w:val="48"/>
        </w:rPr>
      </w:pPr>
      <w:r w:rsidRPr="0005611F">
        <w:rPr>
          <w:rFonts w:eastAsia="Times New Roman" w:cs="Times New Roman"/>
          <w:b/>
          <w:bCs/>
          <w:kern w:val="36"/>
          <w:sz w:val="48"/>
          <w:szCs w:val="48"/>
        </w:rPr>
        <w:t>Who were the Sadducees and the Pharisees?</w:t>
      </w:r>
      <w:r w:rsidRPr="001500FC">
        <w:rPr>
          <w:rStyle w:val="FootnoteReference"/>
          <w:rFonts w:eastAsia="Times New Roman" w:cs="Times New Roman"/>
          <w:b/>
          <w:bCs/>
          <w:kern w:val="36"/>
          <w:sz w:val="32"/>
          <w:szCs w:val="32"/>
        </w:rPr>
        <w:footnoteReference w:id="1"/>
      </w:r>
    </w:p>
    <w:p w:rsidR="0005611F" w:rsidRPr="0005611F" w:rsidRDefault="0005611F" w:rsidP="0005611F">
      <w:pPr>
        <w:widowControl/>
        <w:autoSpaceDE/>
        <w:autoSpaceDN/>
        <w:adjustRightInd/>
        <w:spacing w:after="240"/>
        <w:rPr>
          <w:rFonts w:eastAsia="Times New Roman" w:cs="Times New Roman"/>
        </w:rPr>
      </w:pPr>
      <w:r w:rsidRPr="0005611F">
        <w:rPr>
          <w:rFonts w:eastAsia="Times New Roman" w:cs="Times New Roman"/>
          <w:b/>
          <w:bCs/>
        </w:rPr>
        <w:t xml:space="preserve"> </w:t>
      </w:r>
      <w:r w:rsidRPr="0005611F">
        <w:rPr>
          <w:rFonts w:eastAsia="Times New Roman" w:cs="Times New Roman"/>
        </w:rPr>
        <w:t>The Gospels refer often to the Sadducees and Pharisees, as Jesus was in constant conflict with them. The Sadducees and Pharisees comprised the ruling class of Israel. There are many similarities between the two groups but important differences between them as well.</w:t>
      </w:r>
      <w:r w:rsidRPr="0005611F">
        <w:rPr>
          <w:rFonts w:eastAsia="Times New Roman" w:cs="Times New Roman"/>
        </w:rPr>
        <w:br/>
      </w:r>
      <w:r w:rsidRPr="0005611F">
        <w:rPr>
          <w:rFonts w:eastAsia="Times New Roman" w:cs="Times New Roman"/>
        </w:rPr>
        <w:br/>
      </w:r>
      <w:r w:rsidRPr="001500FC">
        <w:rPr>
          <w:rFonts w:eastAsia="Times New Roman" w:cs="Times New Roman"/>
          <w:b/>
          <w:bCs/>
          <w:u w:val="single"/>
        </w:rPr>
        <w:t>The Sadducees</w:t>
      </w:r>
      <w:r w:rsidRPr="0005611F">
        <w:rPr>
          <w:rFonts w:eastAsia="Times New Roman" w:cs="Times New Roman"/>
          <w:b/>
          <w:bCs/>
        </w:rPr>
        <w:t>:</w:t>
      </w:r>
      <w:r w:rsidRPr="0005611F">
        <w:rPr>
          <w:rFonts w:eastAsia="Times New Roman" w:cs="Times New Roman"/>
        </w:rPr>
        <w:t xml:space="preserve"> During the time of Christ and the New Testament era, the Sadducees were aristocrats. They tended to be wealthy and held powerful positions, including that of chief priests and high priest, and they held the majority of the 70 seats of the ruling council called the Sanhedrin. They worked hard to keep the peace by agreeing with the decisions of Rome (Israel at this time was under Roman control), and they seemed to be more concerned with politics than religion. Because they were accommodating to Rome and were the wealthy upper class, they did not relate well to the common man, nor did the common man hold them in high opinion. The common man related better to those who belonged to the party of the Pharisees. Though the Sadducees held the majority of seats in the Sanhedrin, history indicates that much of the time they had to go along with the ideas of the Pharisaic minority, because the Pharisees were popular with the masses.</w:t>
      </w:r>
      <w:r w:rsidRPr="0005611F">
        <w:rPr>
          <w:rFonts w:eastAsia="Times New Roman" w:cs="Times New Roman"/>
        </w:rPr>
        <w:br/>
      </w:r>
      <w:r w:rsidRPr="0005611F">
        <w:rPr>
          <w:rFonts w:eastAsia="Times New Roman" w:cs="Times New Roman"/>
        </w:rPr>
        <w:br/>
        <w:t>Religiously, the Sadducees were more conservative in one main area of doctrine. The Pharisees gave oral tradition equal authority to the written Word of God, while the Sadducees considered only the written Word to be from God. The Sadducees preserved the authority of the written Word of God, especially the books of Moses (Genesis through Deuteronomy). While they could be commended for this, they definitely were not perfect in their doctrinal views. The following is a brief list of beliefs they held that contradict Scripture</w:t>
      </w:r>
      <w:proofErr w:type="gramStart"/>
      <w:r w:rsidRPr="0005611F">
        <w:rPr>
          <w:rFonts w:eastAsia="Times New Roman" w:cs="Times New Roman"/>
        </w:rPr>
        <w:t>:</w:t>
      </w:r>
      <w:proofErr w:type="gramEnd"/>
      <w:r w:rsidRPr="0005611F">
        <w:rPr>
          <w:rFonts w:eastAsia="Times New Roman" w:cs="Times New Roman"/>
        </w:rPr>
        <w:br/>
      </w:r>
      <w:r w:rsidRPr="0005611F">
        <w:rPr>
          <w:rFonts w:eastAsia="Times New Roman" w:cs="Times New Roman"/>
        </w:rPr>
        <w:br/>
        <w:t>1. They were extremely self-sufficient to the point of denying God's involvement in everyday life.</w:t>
      </w:r>
      <w:r w:rsidRPr="0005611F">
        <w:rPr>
          <w:rFonts w:eastAsia="Times New Roman" w:cs="Times New Roman"/>
        </w:rPr>
        <w:br/>
      </w:r>
      <w:r w:rsidRPr="0005611F">
        <w:rPr>
          <w:rFonts w:eastAsia="Times New Roman" w:cs="Times New Roman"/>
        </w:rPr>
        <w:br/>
        <w:t>2. They denied any resurrection of the dead (</w:t>
      </w:r>
      <w:hyperlink r:id="rId8" w:tgtFrame="_blank" w:history="1">
        <w:r w:rsidRPr="001500FC">
          <w:rPr>
            <w:rFonts w:eastAsia="Times New Roman" w:cs="Times New Roman"/>
            <w:u w:val="single"/>
          </w:rPr>
          <w:t>Matthew 22:23</w:t>
        </w:r>
      </w:hyperlink>
      <w:r w:rsidRPr="0005611F">
        <w:rPr>
          <w:rFonts w:eastAsia="Times New Roman" w:cs="Times New Roman"/>
        </w:rPr>
        <w:t xml:space="preserve">; </w:t>
      </w:r>
      <w:hyperlink r:id="rId9" w:tgtFrame="_blank" w:history="1">
        <w:r w:rsidRPr="001500FC">
          <w:rPr>
            <w:rFonts w:eastAsia="Times New Roman" w:cs="Times New Roman"/>
            <w:u w:val="single"/>
          </w:rPr>
          <w:t>Mark 12:18-27</w:t>
        </w:r>
      </w:hyperlink>
      <w:r w:rsidRPr="0005611F">
        <w:rPr>
          <w:rFonts w:eastAsia="Times New Roman" w:cs="Times New Roman"/>
        </w:rPr>
        <w:t xml:space="preserve">; </w:t>
      </w:r>
      <w:hyperlink r:id="rId10" w:tgtFrame="_blank" w:history="1">
        <w:r w:rsidRPr="001500FC">
          <w:rPr>
            <w:rFonts w:eastAsia="Times New Roman" w:cs="Times New Roman"/>
            <w:u w:val="single"/>
          </w:rPr>
          <w:t>Acts 23:8</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3. They denied any afterlife, holding that the soul perished at death, and therefore denying any penalty or reward after the earthly life.</w:t>
      </w:r>
      <w:r w:rsidRPr="0005611F">
        <w:rPr>
          <w:rFonts w:eastAsia="Times New Roman" w:cs="Times New Roman"/>
        </w:rPr>
        <w:br/>
      </w:r>
      <w:r w:rsidRPr="0005611F">
        <w:rPr>
          <w:rFonts w:eastAsia="Times New Roman" w:cs="Times New Roman"/>
        </w:rPr>
        <w:br/>
        <w:t>4. They denied the existence of a spiritual world, i.e., angels and demons (</w:t>
      </w:r>
      <w:hyperlink r:id="rId11" w:tgtFrame="_blank" w:history="1">
        <w:r w:rsidRPr="001500FC">
          <w:rPr>
            <w:rFonts w:eastAsia="Times New Roman" w:cs="Times New Roman"/>
            <w:u w:val="single"/>
          </w:rPr>
          <w:t>Acts 23:8</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Because the Sadducees were more concerned with politics than religion, they were unconcerned with Jesus until they became afraid He might bring unwanted Roman attention. It was at this point that the Sadducees and Pharisees united and conspired to put Christ to death (</w:t>
      </w:r>
      <w:hyperlink r:id="rId12" w:tgtFrame="_blank" w:history="1">
        <w:r w:rsidRPr="001500FC">
          <w:rPr>
            <w:rFonts w:eastAsia="Times New Roman" w:cs="Times New Roman"/>
            <w:u w:val="single"/>
          </w:rPr>
          <w:t>John 11:48-50</w:t>
        </w:r>
      </w:hyperlink>
      <w:r w:rsidRPr="0005611F">
        <w:rPr>
          <w:rFonts w:eastAsia="Times New Roman" w:cs="Times New Roman"/>
        </w:rPr>
        <w:t xml:space="preserve">; </w:t>
      </w:r>
      <w:hyperlink r:id="rId13" w:tgtFrame="_blank" w:history="1">
        <w:r w:rsidRPr="001500FC">
          <w:rPr>
            <w:rFonts w:eastAsia="Times New Roman" w:cs="Times New Roman"/>
            <w:u w:val="single"/>
          </w:rPr>
          <w:t>Mark 14:53</w:t>
        </w:r>
      </w:hyperlink>
      <w:r w:rsidRPr="0005611F">
        <w:rPr>
          <w:rFonts w:eastAsia="Times New Roman" w:cs="Times New Roman"/>
        </w:rPr>
        <w:t xml:space="preserve">; </w:t>
      </w:r>
      <w:hyperlink r:id="rId14" w:tgtFrame="_blank" w:history="1">
        <w:r w:rsidRPr="001500FC">
          <w:rPr>
            <w:rFonts w:eastAsia="Times New Roman" w:cs="Times New Roman"/>
            <w:u w:val="single"/>
          </w:rPr>
          <w:t>15:1</w:t>
        </w:r>
      </w:hyperlink>
      <w:r w:rsidRPr="0005611F">
        <w:rPr>
          <w:rFonts w:eastAsia="Times New Roman" w:cs="Times New Roman"/>
        </w:rPr>
        <w:t xml:space="preserve">). Other mentions of the Sadducees are found in </w:t>
      </w:r>
      <w:hyperlink r:id="rId15" w:tgtFrame="_blank" w:history="1">
        <w:r w:rsidRPr="001500FC">
          <w:rPr>
            <w:rFonts w:eastAsia="Times New Roman" w:cs="Times New Roman"/>
            <w:u w:val="single"/>
          </w:rPr>
          <w:t>Acts 4:1</w:t>
        </w:r>
      </w:hyperlink>
      <w:r w:rsidRPr="0005611F">
        <w:rPr>
          <w:rFonts w:eastAsia="Times New Roman" w:cs="Times New Roman"/>
        </w:rPr>
        <w:t xml:space="preserve"> and </w:t>
      </w:r>
      <w:hyperlink r:id="rId16" w:tgtFrame="_blank" w:history="1">
        <w:r w:rsidRPr="001500FC">
          <w:rPr>
            <w:rFonts w:eastAsia="Times New Roman" w:cs="Times New Roman"/>
            <w:u w:val="single"/>
          </w:rPr>
          <w:t xml:space="preserve">Acts </w:t>
        </w:r>
        <w:proofErr w:type="gramStart"/>
        <w:r w:rsidRPr="001500FC">
          <w:rPr>
            <w:rFonts w:eastAsia="Times New Roman" w:cs="Times New Roman"/>
            <w:u w:val="single"/>
          </w:rPr>
          <w:t>5:17</w:t>
        </w:r>
      </w:hyperlink>
      <w:r w:rsidRPr="0005611F">
        <w:rPr>
          <w:rFonts w:eastAsia="Times New Roman" w:cs="Times New Roman"/>
        </w:rPr>
        <w:t>,</w:t>
      </w:r>
      <w:proofErr w:type="gramEnd"/>
      <w:r w:rsidRPr="0005611F">
        <w:rPr>
          <w:rFonts w:eastAsia="Times New Roman" w:cs="Times New Roman"/>
        </w:rPr>
        <w:t xml:space="preserve"> and the Sadducees are implicated in the death of James by the historian Josephus (</w:t>
      </w:r>
      <w:hyperlink r:id="rId17" w:tgtFrame="_blank" w:history="1">
        <w:r w:rsidRPr="001500FC">
          <w:rPr>
            <w:rFonts w:eastAsia="Times New Roman" w:cs="Times New Roman"/>
            <w:u w:val="single"/>
          </w:rPr>
          <w:t>Acts 12:1-2</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The Sadducees ceased to exist in A.D. 70. Since this party existed because of their political and priestly ties, when Rome destroyed Jerusalem and the temple in A.D. 70, the Sadducees were also destroyed.</w:t>
      </w:r>
      <w:r w:rsidRPr="0005611F">
        <w:rPr>
          <w:rFonts w:eastAsia="Times New Roman" w:cs="Times New Roman"/>
        </w:rPr>
        <w:br/>
      </w:r>
      <w:r w:rsidRPr="0005611F">
        <w:rPr>
          <w:rFonts w:eastAsia="Times New Roman" w:cs="Times New Roman"/>
        </w:rPr>
        <w:lastRenderedPageBreak/>
        <w:br/>
      </w:r>
      <w:r w:rsidRPr="001500FC">
        <w:rPr>
          <w:rFonts w:eastAsia="Times New Roman" w:cs="Times New Roman"/>
          <w:b/>
          <w:bCs/>
          <w:u w:val="single"/>
        </w:rPr>
        <w:t>The Pharisees</w:t>
      </w:r>
      <w:r w:rsidRPr="001500FC">
        <w:rPr>
          <w:rFonts w:eastAsia="Times New Roman" w:cs="Times New Roman"/>
          <w:b/>
          <w:bCs/>
        </w:rPr>
        <w:t>:</w:t>
      </w:r>
      <w:r w:rsidRPr="0005611F">
        <w:rPr>
          <w:rFonts w:eastAsia="Times New Roman" w:cs="Times New Roman"/>
        </w:rPr>
        <w:t xml:space="preserve"> In contrast to the Sadducees, the Pharisees were mostly middle-class businessmen, and therefore were in contact with the common man. The Pharisees were held in much higher esteem by the common man than the Sadducees. Though they were a minority in the Sanhedrin and held a minority number of positions as priests, they seemed to control the decision making of the Sanhedrin far more than the Sadducees did, again because they had the support of the people.</w:t>
      </w:r>
      <w:r w:rsidRPr="0005611F">
        <w:rPr>
          <w:rFonts w:eastAsia="Times New Roman" w:cs="Times New Roman"/>
        </w:rPr>
        <w:br/>
      </w:r>
      <w:r w:rsidRPr="0005611F">
        <w:rPr>
          <w:rFonts w:eastAsia="Times New Roman" w:cs="Times New Roman"/>
        </w:rPr>
        <w:br/>
        <w:t xml:space="preserve">Religiously, they accepted the written Word as inspired by God. At the time of Christ's earthly ministry, this would have been what </w:t>
      </w:r>
      <w:proofErr w:type="gramStart"/>
      <w:r w:rsidRPr="0005611F">
        <w:rPr>
          <w:rFonts w:eastAsia="Times New Roman" w:cs="Times New Roman"/>
        </w:rPr>
        <w:t>is now our Old Testament</w:t>
      </w:r>
      <w:proofErr w:type="gramEnd"/>
      <w:r w:rsidRPr="0005611F">
        <w:rPr>
          <w:rFonts w:eastAsia="Times New Roman" w:cs="Times New Roman"/>
        </w:rPr>
        <w:t>. But they also gave equal authority to oral tradition and attempted to defend this position by saying it went all the way back to Moses. Evolving over the centuries, these traditions added to God's Word, which is forbidden (</w:t>
      </w:r>
      <w:hyperlink r:id="rId18" w:tgtFrame="_blank" w:history="1">
        <w:r w:rsidRPr="001500FC">
          <w:rPr>
            <w:rFonts w:eastAsia="Times New Roman" w:cs="Times New Roman"/>
            <w:u w:val="single"/>
          </w:rPr>
          <w:t>Deuteronomy 4:2</w:t>
        </w:r>
      </w:hyperlink>
      <w:r w:rsidRPr="0005611F">
        <w:rPr>
          <w:rFonts w:eastAsia="Times New Roman" w:cs="Times New Roman"/>
        </w:rPr>
        <w:t>), and the Pharisees sought to strictly obey these traditions along with the Old Testament. The Gospels abound with examples of the Pharisees treating these traditions as equal to God's Word (</w:t>
      </w:r>
      <w:hyperlink r:id="rId19" w:tgtFrame="_blank" w:history="1">
        <w:r w:rsidRPr="001500FC">
          <w:rPr>
            <w:rFonts w:eastAsia="Times New Roman" w:cs="Times New Roman"/>
            <w:u w:val="single"/>
          </w:rPr>
          <w:t>Matthew 9:14</w:t>
        </w:r>
      </w:hyperlink>
      <w:r w:rsidRPr="0005611F">
        <w:rPr>
          <w:rFonts w:eastAsia="Times New Roman" w:cs="Times New Roman"/>
        </w:rPr>
        <w:t xml:space="preserve">; </w:t>
      </w:r>
      <w:hyperlink r:id="rId20" w:tgtFrame="_blank" w:history="1">
        <w:r w:rsidRPr="001500FC">
          <w:rPr>
            <w:rFonts w:eastAsia="Times New Roman" w:cs="Times New Roman"/>
            <w:u w:val="single"/>
          </w:rPr>
          <w:t>15:1-9</w:t>
        </w:r>
      </w:hyperlink>
      <w:r w:rsidRPr="0005611F">
        <w:rPr>
          <w:rFonts w:eastAsia="Times New Roman" w:cs="Times New Roman"/>
        </w:rPr>
        <w:t xml:space="preserve">; </w:t>
      </w:r>
      <w:hyperlink r:id="rId21" w:tgtFrame="_blank" w:history="1">
        <w:r w:rsidRPr="001500FC">
          <w:rPr>
            <w:rFonts w:eastAsia="Times New Roman" w:cs="Times New Roman"/>
            <w:u w:val="single"/>
          </w:rPr>
          <w:t>23:5</w:t>
        </w:r>
      </w:hyperlink>
      <w:r w:rsidRPr="0005611F">
        <w:rPr>
          <w:rFonts w:eastAsia="Times New Roman" w:cs="Times New Roman"/>
        </w:rPr>
        <w:t xml:space="preserve">; </w:t>
      </w:r>
      <w:hyperlink r:id="rId22" w:tgtFrame="_blank" w:history="1">
        <w:r w:rsidRPr="001500FC">
          <w:rPr>
            <w:rFonts w:eastAsia="Times New Roman" w:cs="Times New Roman"/>
            <w:u w:val="single"/>
          </w:rPr>
          <w:t>23:16</w:t>
        </w:r>
      </w:hyperlink>
      <w:r w:rsidRPr="0005611F">
        <w:rPr>
          <w:rFonts w:eastAsia="Times New Roman" w:cs="Times New Roman"/>
        </w:rPr>
        <w:t xml:space="preserve">, </w:t>
      </w:r>
      <w:hyperlink r:id="rId23" w:tgtFrame="_blank" w:history="1">
        <w:r w:rsidRPr="001500FC">
          <w:rPr>
            <w:rFonts w:eastAsia="Times New Roman" w:cs="Times New Roman"/>
            <w:u w:val="single"/>
          </w:rPr>
          <w:t>23</w:t>
        </w:r>
      </w:hyperlink>
      <w:r w:rsidRPr="0005611F">
        <w:rPr>
          <w:rFonts w:eastAsia="Times New Roman" w:cs="Times New Roman"/>
        </w:rPr>
        <w:t xml:space="preserve">, </w:t>
      </w:r>
      <w:hyperlink r:id="rId24" w:tgtFrame="_blank" w:history="1">
        <w:r w:rsidRPr="001500FC">
          <w:rPr>
            <w:rFonts w:eastAsia="Times New Roman" w:cs="Times New Roman"/>
            <w:u w:val="single"/>
          </w:rPr>
          <w:t>Mark 7:1-23</w:t>
        </w:r>
      </w:hyperlink>
      <w:r w:rsidRPr="0005611F">
        <w:rPr>
          <w:rFonts w:eastAsia="Times New Roman" w:cs="Times New Roman"/>
        </w:rPr>
        <w:t xml:space="preserve">; </w:t>
      </w:r>
      <w:hyperlink r:id="rId25" w:tgtFrame="_blank" w:history="1">
        <w:r w:rsidRPr="001500FC">
          <w:rPr>
            <w:rFonts w:eastAsia="Times New Roman" w:cs="Times New Roman"/>
            <w:u w:val="single"/>
          </w:rPr>
          <w:t>Luke 11:42</w:t>
        </w:r>
      </w:hyperlink>
      <w:r w:rsidRPr="0005611F">
        <w:rPr>
          <w:rFonts w:eastAsia="Times New Roman" w:cs="Times New Roman"/>
        </w:rPr>
        <w:t>). However, they did remain true to God's Word in reference to certain other important doctrines. In contrast to the Sadducees, they believed the following</w:t>
      </w:r>
      <w:proofErr w:type="gramStart"/>
      <w:r w:rsidRPr="0005611F">
        <w:rPr>
          <w:rFonts w:eastAsia="Times New Roman" w:cs="Times New Roman"/>
        </w:rPr>
        <w:t>:</w:t>
      </w:r>
      <w:proofErr w:type="gramEnd"/>
      <w:r w:rsidRPr="0005611F">
        <w:rPr>
          <w:rFonts w:eastAsia="Times New Roman" w:cs="Times New Roman"/>
        </w:rPr>
        <w:br/>
      </w:r>
      <w:r w:rsidRPr="0005611F">
        <w:rPr>
          <w:rFonts w:eastAsia="Times New Roman" w:cs="Times New Roman"/>
        </w:rPr>
        <w:br/>
        <w:t>1. They believed that God controlled all things, yet decisions made by individuals also contributed to the course of a person's life.</w:t>
      </w:r>
      <w:r w:rsidRPr="0005611F">
        <w:rPr>
          <w:rFonts w:eastAsia="Times New Roman" w:cs="Times New Roman"/>
        </w:rPr>
        <w:br/>
      </w:r>
      <w:r w:rsidRPr="0005611F">
        <w:rPr>
          <w:rFonts w:eastAsia="Times New Roman" w:cs="Times New Roman"/>
        </w:rPr>
        <w:br/>
        <w:t>2. They believed in the resurrection of the dead (</w:t>
      </w:r>
      <w:hyperlink r:id="rId26" w:tgtFrame="_blank" w:history="1">
        <w:r w:rsidRPr="001500FC">
          <w:rPr>
            <w:rFonts w:eastAsia="Times New Roman" w:cs="Times New Roman"/>
            <w:u w:val="single"/>
          </w:rPr>
          <w:t>Acts 23:6</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3. They believed in an afterlife, with appropriate reward and punishment on an individual basis.</w:t>
      </w:r>
      <w:r w:rsidRPr="0005611F">
        <w:rPr>
          <w:rFonts w:eastAsia="Times New Roman" w:cs="Times New Roman"/>
        </w:rPr>
        <w:br/>
      </w:r>
      <w:r w:rsidRPr="0005611F">
        <w:rPr>
          <w:rFonts w:eastAsia="Times New Roman" w:cs="Times New Roman"/>
        </w:rPr>
        <w:br/>
        <w:t>4. They believed in the existence of angels and demons (</w:t>
      </w:r>
      <w:hyperlink r:id="rId27" w:tgtFrame="_blank" w:history="1">
        <w:r w:rsidRPr="001500FC">
          <w:rPr>
            <w:rFonts w:eastAsia="Times New Roman" w:cs="Times New Roman"/>
            <w:u w:val="single"/>
          </w:rPr>
          <w:t>Acts 23:8</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Though the Pharisees were rivals of the Sadducees, they managed to set aside their differences on one occasion—the trial of Christ. It was at this point that the Sadducees and Pharisees united to put Christ to death (</w:t>
      </w:r>
      <w:hyperlink r:id="rId28" w:tgtFrame="_blank" w:history="1">
        <w:r w:rsidRPr="001500FC">
          <w:rPr>
            <w:rFonts w:eastAsia="Times New Roman" w:cs="Times New Roman"/>
            <w:u w:val="single"/>
          </w:rPr>
          <w:t>Mark 14:53</w:t>
        </w:r>
      </w:hyperlink>
      <w:r w:rsidRPr="0005611F">
        <w:rPr>
          <w:rFonts w:eastAsia="Times New Roman" w:cs="Times New Roman"/>
        </w:rPr>
        <w:t xml:space="preserve">; </w:t>
      </w:r>
      <w:hyperlink r:id="rId29" w:tgtFrame="_blank" w:history="1">
        <w:r w:rsidRPr="001500FC">
          <w:rPr>
            <w:rFonts w:eastAsia="Times New Roman" w:cs="Times New Roman"/>
            <w:u w:val="single"/>
          </w:rPr>
          <w:t>15:1</w:t>
        </w:r>
      </w:hyperlink>
      <w:r w:rsidRPr="0005611F">
        <w:rPr>
          <w:rFonts w:eastAsia="Times New Roman" w:cs="Times New Roman"/>
        </w:rPr>
        <w:t xml:space="preserve">; </w:t>
      </w:r>
      <w:hyperlink r:id="rId30" w:tgtFrame="_blank" w:history="1">
        <w:r w:rsidRPr="001500FC">
          <w:rPr>
            <w:rFonts w:eastAsia="Times New Roman" w:cs="Times New Roman"/>
            <w:u w:val="single"/>
          </w:rPr>
          <w:t>John 11:48-50</w:t>
        </w:r>
      </w:hyperlink>
      <w:r w:rsidRPr="0005611F">
        <w:rPr>
          <w:rFonts w:eastAsia="Times New Roman" w:cs="Times New Roman"/>
        </w:rPr>
        <w:t>).</w:t>
      </w:r>
      <w:r w:rsidRPr="0005611F">
        <w:rPr>
          <w:rFonts w:eastAsia="Times New Roman" w:cs="Times New Roman"/>
        </w:rPr>
        <w:br/>
      </w:r>
      <w:r w:rsidRPr="0005611F">
        <w:rPr>
          <w:rFonts w:eastAsia="Times New Roman" w:cs="Times New Roman"/>
        </w:rPr>
        <w:br/>
        <w:t xml:space="preserve">While the Sadducees ceased to exist after the destruction of Jerusalem, the Pharisees, who were more concerned with religion than politics, continued to exist. In fact, the Pharisees were against the rebellion that brought on Jerusalem's destruction in A.D. 70, and they were the first to make peace with the Romans afterward. The Pharisees were also responsible for the compilation of the </w:t>
      </w:r>
      <w:proofErr w:type="spellStart"/>
      <w:r w:rsidRPr="0005611F">
        <w:rPr>
          <w:rFonts w:eastAsia="Times New Roman" w:cs="Times New Roman"/>
        </w:rPr>
        <w:t>Mishnah</w:t>
      </w:r>
      <w:proofErr w:type="spellEnd"/>
      <w:r w:rsidRPr="0005611F">
        <w:rPr>
          <w:rFonts w:eastAsia="Times New Roman" w:cs="Times New Roman"/>
        </w:rPr>
        <w:t>, an important document with reference to the continuation of Judaism beyond the destruction of the temple.</w:t>
      </w:r>
      <w:r w:rsidRPr="0005611F">
        <w:rPr>
          <w:rFonts w:eastAsia="Times New Roman" w:cs="Times New Roman"/>
        </w:rPr>
        <w:br/>
      </w:r>
      <w:r w:rsidRPr="0005611F">
        <w:rPr>
          <w:rFonts w:eastAsia="Times New Roman" w:cs="Times New Roman"/>
        </w:rPr>
        <w:br/>
        <w:t>Both the Pharisees and the Sadducees earned numerous rebukes from Jesus. Perhaps the best lesson we can learn from the Pharisees and Sadducees is to not be like them. Unlike the Sadducees, we are to believe everything the Bible says, including the miraculous and the afterlife. Unlike the Pharisees, we are not to treat traditions as having equal authority as Scripture, and we are not to allow our relationship with God to be reduced to a legalistic list of rules and rituals.</w:t>
      </w:r>
    </w:p>
    <w:p w:rsidR="0005611F" w:rsidRPr="001500FC" w:rsidRDefault="0005611F" w:rsidP="0005611F"/>
    <w:sectPr w:rsidR="0005611F" w:rsidRPr="001500FC" w:rsidSect="00CB51C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2D1" w:rsidRDefault="008C72D1" w:rsidP="0005611F">
      <w:r>
        <w:separator/>
      </w:r>
    </w:p>
  </w:endnote>
  <w:endnote w:type="continuationSeparator" w:id="0">
    <w:p w:rsidR="008C72D1" w:rsidRDefault="008C72D1" w:rsidP="000561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2D1" w:rsidRDefault="008C72D1" w:rsidP="0005611F">
      <w:r>
        <w:separator/>
      </w:r>
    </w:p>
  </w:footnote>
  <w:footnote w:type="continuationSeparator" w:id="0">
    <w:p w:rsidR="008C72D1" w:rsidRDefault="008C72D1" w:rsidP="0005611F">
      <w:r>
        <w:continuationSeparator/>
      </w:r>
    </w:p>
  </w:footnote>
  <w:footnote w:id="1">
    <w:p w:rsidR="0005611F" w:rsidRDefault="0005611F">
      <w:pPr>
        <w:pStyle w:val="FootnoteText"/>
      </w:pPr>
      <w:r>
        <w:rPr>
          <w:rStyle w:val="FootnoteReference"/>
        </w:rPr>
        <w:footnoteRef/>
      </w:r>
      <w:r w:rsidR="00F25CF7">
        <w:t xml:space="preserve"> GotQuestions.o</w:t>
      </w:r>
      <w:r>
        <w:t>rg</w:t>
      </w:r>
      <w:r w:rsidR="00F25CF7">
        <w:t>/</w:t>
      </w:r>
      <w:r>
        <w:t>Home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614BA"/>
    <w:multiLevelType w:val="multilevel"/>
    <w:tmpl w:val="96BC4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2F6D1B03"/>
    <w:multiLevelType w:val="multilevel"/>
    <w:tmpl w:val="0EC8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22562"/>
    <w:multiLevelType w:val="multilevel"/>
    <w:tmpl w:val="C0BE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0842AC"/>
    <w:multiLevelType w:val="multilevel"/>
    <w:tmpl w:val="EF40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0"/>
  </w:num>
  <w:num w:numId="12">
    <w:abstractNumId w:val="4"/>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5611F"/>
    <w:rsid w:val="0005611F"/>
    <w:rsid w:val="001500FC"/>
    <w:rsid w:val="007B4710"/>
    <w:rsid w:val="008C72D1"/>
    <w:rsid w:val="00A70872"/>
    <w:rsid w:val="00A71F4D"/>
    <w:rsid w:val="00CB51C2"/>
    <w:rsid w:val="00F25C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72"/>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A70872"/>
    <w:pPr>
      <w:keepNext/>
      <w:keepLines/>
      <w:numPr>
        <w:numId w:val="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0872"/>
    <w:pPr>
      <w:keepNext/>
      <w:keepLines/>
      <w:numPr>
        <w:ilvl w:val="1"/>
        <w:numId w:val="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70872"/>
    <w:pPr>
      <w:keepNext/>
      <w:keepLines/>
      <w:numPr>
        <w:ilvl w:val="2"/>
        <w:numId w:val="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872"/>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70872"/>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0872"/>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70872"/>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0872"/>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70872"/>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7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08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708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708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708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708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A708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708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7087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A70872"/>
    <w:pPr>
      <w:ind w:left="720"/>
      <w:contextualSpacing/>
    </w:pPr>
    <w:rPr>
      <w:rFonts w:cs="Times New Roman"/>
    </w:rPr>
  </w:style>
  <w:style w:type="paragraph" w:styleId="NormalWeb">
    <w:name w:val="Normal (Web)"/>
    <w:basedOn w:val="Normal"/>
    <w:uiPriority w:val="99"/>
    <w:unhideWhenUsed/>
    <w:rsid w:val="0005611F"/>
    <w:pPr>
      <w:widowControl/>
      <w:autoSpaceDE/>
      <w:autoSpaceDN/>
      <w:adjustRightInd/>
      <w:spacing w:before="100" w:beforeAutospacing="1" w:after="100" w:afterAutospacing="1"/>
    </w:pPr>
    <w:rPr>
      <w:rFonts w:eastAsia="Times New Roman" w:cs="Times New Roman"/>
      <w:color w:val="000000"/>
    </w:rPr>
  </w:style>
  <w:style w:type="character" w:styleId="Hyperlink">
    <w:name w:val="Hyperlink"/>
    <w:basedOn w:val="DefaultParagraphFont"/>
    <w:uiPriority w:val="99"/>
    <w:semiHidden/>
    <w:unhideWhenUsed/>
    <w:rsid w:val="0005611F"/>
    <w:rPr>
      <w:color w:val="0000FF"/>
      <w:u w:val="single"/>
    </w:rPr>
  </w:style>
  <w:style w:type="character" w:styleId="Emphasis">
    <w:name w:val="Emphasis"/>
    <w:basedOn w:val="DefaultParagraphFont"/>
    <w:uiPriority w:val="20"/>
    <w:qFormat/>
    <w:rsid w:val="0005611F"/>
    <w:rPr>
      <w:i/>
      <w:iCs/>
    </w:rPr>
  </w:style>
  <w:style w:type="paragraph" w:styleId="FootnoteText">
    <w:name w:val="footnote text"/>
    <w:basedOn w:val="Normal"/>
    <w:link w:val="FootnoteTextChar"/>
    <w:uiPriority w:val="99"/>
    <w:semiHidden/>
    <w:unhideWhenUsed/>
    <w:rsid w:val="0005611F"/>
    <w:rPr>
      <w:sz w:val="20"/>
      <w:szCs w:val="20"/>
    </w:rPr>
  </w:style>
  <w:style w:type="character" w:customStyle="1" w:styleId="FootnoteTextChar">
    <w:name w:val="Footnote Text Char"/>
    <w:basedOn w:val="DefaultParagraphFont"/>
    <w:link w:val="FootnoteText"/>
    <w:uiPriority w:val="99"/>
    <w:semiHidden/>
    <w:rsid w:val="0005611F"/>
    <w:rPr>
      <w:rFonts w:ascii="Times New Roman" w:hAnsi="Times New Roman"/>
      <w:sz w:val="20"/>
      <w:szCs w:val="20"/>
    </w:rPr>
  </w:style>
  <w:style w:type="character" w:styleId="FootnoteReference">
    <w:name w:val="footnote reference"/>
    <w:basedOn w:val="DefaultParagraphFont"/>
    <w:uiPriority w:val="99"/>
    <w:semiHidden/>
    <w:unhideWhenUsed/>
    <w:rsid w:val="0005611F"/>
    <w:rPr>
      <w:vertAlign w:val="superscript"/>
    </w:rPr>
  </w:style>
  <w:style w:type="paragraph" w:customStyle="1" w:styleId="text2">
    <w:name w:val="text2"/>
    <w:basedOn w:val="Normal"/>
    <w:rsid w:val="0005611F"/>
    <w:pPr>
      <w:widowControl/>
      <w:autoSpaceDE/>
      <w:autoSpaceDN/>
      <w:adjustRightInd/>
      <w:spacing w:before="100" w:beforeAutospacing="1" w:after="100" w:afterAutospacing="1"/>
    </w:pPr>
    <w:rPr>
      <w:rFonts w:eastAsia="Times New Roman" w:cs="Times New Roman"/>
    </w:rPr>
  </w:style>
  <w:style w:type="character" w:styleId="Strong">
    <w:name w:val="Strong"/>
    <w:basedOn w:val="DefaultParagraphFont"/>
    <w:uiPriority w:val="22"/>
    <w:qFormat/>
    <w:rsid w:val="0005611F"/>
    <w:rPr>
      <w:b/>
      <w:bCs/>
    </w:rPr>
  </w:style>
  <w:style w:type="paragraph" w:styleId="BalloonText">
    <w:name w:val="Balloon Text"/>
    <w:basedOn w:val="Normal"/>
    <w:link w:val="BalloonTextChar"/>
    <w:uiPriority w:val="99"/>
    <w:semiHidden/>
    <w:unhideWhenUsed/>
    <w:rsid w:val="0005611F"/>
    <w:rPr>
      <w:rFonts w:ascii="Tahoma" w:hAnsi="Tahoma" w:cs="Tahoma"/>
      <w:sz w:val="16"/>
      <w:szCs w:val="16"/>
    </w:rPr>
  </w:style>
  <w:style w:type="character" w:customStyle="1" w:styleId="BalloonTextChar">
    <w:name w:val="Balloon Text Char"/>
    <w:basedOn w:val="DefaultParagraphFont"/>
    <w:link w:val="BalloonText"/>
    <w:uiPriority w:val="99"/>
    <w:semiHidden/>
    <w:rsid w:val="000561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Matthew%2022.23" TargetMode="External"/><Relationship Id="rId13" Type="http://schemas.openxmlformats.org/officeDocument/2006/relationships/hyperlink" Target="http://biblia.com/bible/esv/Mark%2014.53" TargetMode="External"/><Relationship Id="rId18" Type="http://schemas.openxmlformats.org/officeDocument/2006/relationships/hyperlink" Target="http://biblia.com/bible/esv/Deuteronomy%204.2" TargetMode="External"/><Relationship Id="rId26" Type="http://schemas.openxmlformats.org/officeDocument/2006/relationships/hyperlink" Target="http://biblia.com/bible/esv/Acts%2023.6" TargetMode="External"/><Relationship Id="rId3" Type="http://schemas.openxmlformats.org/officeDocument/2006/relationships/styles" Target="styles.xml"/><Relationship Id="rId21" Type="http://schemas.openxmlformats.org/officeDocument/2006/relationships/hyperlink" Target="http://biblia.com/bible/esv/Matthew%2023.5" TargetMode="External"/><Relationship Id="rId7" Type="http://schemas.openxmlformats.org/officeDocument/2006/relationships/endnotes" Target="endnotes.xml"/><Relationship Id="rId12" Type="http://schemas.openxmlformats.org/officeDocument/2006/relationships/hyperlink" Target="http://biblia.com/bible/esv/John%2011.48-50" TargetMode="External"/><Relationship Id="rId17" Type="http://schemas.openxmlformats.org/officeDocument/2006/relationships/hyperlink" Target="http://biblia.com/bible/esv/Acts%2012.1-2" TargetMode="External"/><Relationship Id="rId25" Type="http://schemas.openxmlformats.org/officeDocument/2006/relationships/hyperlink" Target="http://biblia.com/bible/esv/Luke%2011.42" TargetMode="External"/><Relationship Id="rId2" Type="http://schemas.openxmlformats.org/officeDocument/2006/relationships/numbering" Target="numbering.xml"/><Relationship Id="rId16" Type="http://schemas.openxmlformats.org/officeDocument/2006/relationships/hyperlink" Target="http://biblia.com/bible/esv/Acts%205.17" TargetMode="External"/><Relationship Id="rId20" Type="http://schemas.openxmlformats.org/officeDocument/2006/relationships/hyperlink" Target="http://biblia.com/bible/esv/Matthew%2015.1-9" TargetMode="External"/><Relationship Id="rId29" Type="http://schemas.openxmlformats.org/officeDocument/2006/relationships/hyperlink" Target="http://biblia.com/bible/esv/Mark%201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Acts%2023.8" TargetMode="External"/><Relationship Id="rId24" Type="http://schemas.openxmlformats.org/officeDocument/2006/relationships/hyperlink" Target="http://biblia.com/bible/esv/Mark%207.1-2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blia.com/bible/esv/Acts%204.1" TargetMode="External"/><Relationship Id="rId23" Type="http://schemas.openxmlformats.org/officeDocument/2006/relationships/hyperlink" Target="http://biblia.com/bible/esv/Matthew%2023.23" TargetMode="External"/><Relationship Id="rId28" Type="http://schemas.openxmlformats.org/officeDocument/2006/relationships/hyperlink" Target="http://biblia.com/bible/esv/Mark%2014.53" TargetMode="External"/><Relationship Id="rId10" Type="http://schemas.openxmlformats.org/officeDocument/2006/relationships/hyperlink" Target="http://biblia.com/bible/esv/Acts%2023.8" TargetMode="External"/><Relationship Id="rId19" Type="http://schemas.openxmlformats.org/officeDocument/2006/relationships/hyperlink" Target="http://biblia.com/bible/esv/Matthew%209.1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iblia.com/bible/esv/Mark%2012.18-27" TargetMode="External"/><Relationship Id="rId14" Type="http://schemas.openxmlformats.org/officeDocument/2006/relationships/hyperlink" Target="http://biblia.com/bible/esv/Mark%2015.1" TargetMode="External"/><Relationship Id="rId22" Type="http://schemas.openxmlformats.org/officeDocument/2006/relationships/hyperlink" Target="http://biblia.com/bible/esv/Matthew%2023.16" TargetMode="External"/><Relationship Id="rId27" Type="http://schemas.openxmlformats.org/officeDocument/2006/relationships/hyperlink" Target="http://biblia.com/bible/esv/Acts%2023.8" TargetMode="External"/><Relationship Id="rId30" Type="http://schemas.openxmlformats.org/officeDocument/2006/relationships/hyperlink" Target="http://biblia.com/bible/esv/John%20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CF342-104C-4640-A782-5B541CFF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cp:revision>
  <dcterms:created xsi:type="dcterms:W3CDTF">2012-03-05T21:59:00Z</dcterms:created>
  <dcterms:modified xsi:type="dcterms:W3CDTF">2012-03-05T22:12:00Z</dcterms:modified>
</cp:coreProperties>
</file>