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 Questions for “The World-Tilting Gospel”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Chapter 12: What About the Flesh?  Christians Biggest Problem Isn’t External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“literal” flesh, the thing you’re wearing, evil in itself?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the word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synecdoche</w:t>
      </w:r>
      <w:r w:rsidDel="00000000" w:rsidR="00000000" w:rsidRPr="00000000">
        <w:rPr>
          <w:sz w:val="24"/>
          <w:szCs w:val="24"/>
          <w:rtl w:val="0"/>
        </w:rPr>
        <w:t xml:space="preserve"> mean?  How does this figure of speech help us understand the second of four senses of the word “flesh.”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Matthew 26:41, we read “the spirit is indeed willing, but the flesh is weak.”  How is this sense of the word “flesh” different from the first sense?  See question 1.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 in the 4th sense that flesh, as human nature, is corrupted by sin.  Why is this not the case for Jesus since He “became flesh?”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author gives 9 truths about the flesh from Paul’s writing.  Write 2 of them here.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Spiritually speaking, can we pull ourselves up by our own boot straps (or Birkenstocks)?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Explain why a “carnal Christian” is a made up term and wrong!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what point in our lives do we cease to struggle against the flesh?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author paints a vivid scene of Brook trout swimming upstream.  What is he trying to say here?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this chapter, we can surmise that our flesh can’t be counted on.  Does this free us from any earthly obligations?  Write the answer in 2 parts (6 words as summarized in the book).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