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CE06" w14:textId="04816C9F" w:rsidR="004E17E6" w:rsidRDefault="00AF2420" w:rsidP="004E17E6">
      <w:pPr>
        <w:jc w:val="center"/>
      </w:pPr>
      <w:r>
        <w:t>A Bold Choice</w:t>
      </w:r>
    </w:p>
    <w:p w14:paraId="58AFBA29" w14:textId="5F1A91CA" w:rsidR="004E17E6" w:rsidRDefault="004E17E6" w:rsidP="004E17E6">
      <w:pPr>
        <w:jc w:val="center"/>
      </w:pPr>
      <w:r>
        <w:t>John 6:60-71</w:t>
      </w:r>
    </w:p>
    <w:p w14:paraId="7E0441AA" w14:textId="77777777" w:rsidR="004E17E6" w:rsidRDefault="004E17E6" w:rsidP="004E17E6">
      <w:pPr>
        <w:jc w:val="center"/>
      </w:pPr>
    </w:p>
    <w:p w14:paraId="72ECF466" w14:textId="3411FEB6" w:rsidR="00A34AE7" w:rsidRDefault="006A2D97" w:rsidP="00A34AE7">
      <w:pPr>
        <w:pStyle w:val="ListParagraph"/>
        <w:numPr>
          <w:ilvl w:val="0"/>
          <w:numId w:val="3"/>
        </w:numPr>
      </w:pPr>
      <w:r w:rsidRPr="00A34AE7">
        <w:rPr>
          <w:b/>
          <w:bCs/>
          <w:i/>
          <w:iCs/>
          <w:u w:val="single"/>
        </w:rPr>
        <w:t>Unbelievers</w:t>
      </w:r>
      <w:r>
        <w:t xml:space="preserve"> use bold </w:t>
      </w:r>
      <w:r w:rsidRPr="00A34AE7">
        <w:rPr>
          <w:b/>
          <w:bCs/>
          <w:i/>
          <w:iCs/>
          <w:u w:val="single"/>
        </w:rPr>
        <w:t>accusations</w:t>
      </w:r>
      <w:r>
        <w:t xml:space="preserve"> to </w:t>
      </w:r>
      <w:r w:rsidRPr="00A34AE7">
        <w:rPr>
          <w:b/>
          <w:bCs/>
          <w:i/>
          <w:iCs/>
          <w:u w:val="single"/>
        </w:rPr>
        <w:t>justify</w:t>
      </w:r>
      <w:r>
        <w:t xml:space="preserve"> </w:t>
      </w:r>
      <w:r w:rsidRPr="00AF2420">
        <w:t>walking</w:t>
      </w:r>
      <w:r>
        <w:t xml:space="preserve"> away </w:t>
      </w:r>
      <w:r w:rsidRPr="00AF2420">
        <w:rPr>
          <w:b/>
          <w:bCs/>
          <w:i/>
          <w:iCs/>
          <w:u w:val="single"/>
        </w:rPr>
        <w:t>from</w:t>
      </w:r>
      <w:r w:rsidRPr="00AF2420">
        <w:rPr>
          <w:b/>
          <w:bCs/>
          <w:i/>
          <w:iCs/>
        </w:rPr>
        <w:t xml:space="preserve"> </w:t>
      </w:r>
      <w:r>
        <w:t>Jesus (vv. 60-66</w:t>
      </w:r>
      <w:r w:rsidR="00A34AE7">
        <w:t>)</w:t>
      </w:r>
    </w:p>
    <w:p w14:paraId="180590B3" w14:textId="1986919C" w:rsidR="00A34AE7" w:rsidRDefault="00A34AE7" w:rsidP="00A34AE7">
      <w:pPr>
        <w:pStyle w:val="ListParagraph"/>
        <w:numPr>
          <w:ilvl w:val="1"/>
          <w:numId w:val="3"/>
        </w:numPr>
      </w:pPr>
      <w:r>
        <w:t xml:space="preserve">The </w:t>
      </w:r>
      <w:proofErr w:type="gramStart"/>
      <w:r>
        <w:t>unbelievers</w:t>
      </w:r>
      <w:proofErr w:type="gramEnd"/>
      <w:r>
        <w:t xml:space="preserve"> bold accusation: “This is too hard to accept” (v. 60)</w:t>
      </w:r>
    </w:p>
    <w:p w14:paraId="3339F5E7" w14:textId="2AC69E9A" w:rsidR="00A34AE7" w:rsidRDefault="00A34AE7" w:rsidP="00A34AE7">
      <w:pPr>
        <w:pStyle w:val="ListParagraph"/>
        <w:numPr>
          <w:ilvl w:val="1"/>
          <w:numId w:val="3"/>
        </w:numPr>
      </w:pPr>
      <w:r>
        <w:t>Jesus’ bold response (vv. 61-65)</w:t>
      </w:r>
    </w:p>
    <w:p w14:paraId="4218B134" w14:textId="03B2AB48" w:rsidR="00A34AE7" w:rsidRDefault="00A34AE7" w:rsidP="00A34AE7">
      <w:pPr>
        <w:pStyle w:val="ListParagraph"/>
        <w:numPr>
          <w:ilvl w:val="2"/>
          <w:numId w:val="3"/>
        </w:numPr>
      </w:pPr>
      <w:r>
        <w:t>Does this offend you? (v. 61)</w:t>
      </w:r>
    </w:p>
    <w:p w14:paraId="558EAFD5" w14:textId="2D6ADB0F" w:rsidR="00A34AE7" w:rsidRDefault="00A34AE7" w:rsidP="00A34AE7">
      <w:pPr>
        <w:pStyle w:val="ListParagraph"/>
        <w:numPr>
          <w:ilvl w:val="2"/>
          <w:numId w:val="3"/>
        </w:numPr>
      </w:pPr>
      <w:r>
        <w:t xml:space="preserve">What if you see me ascending to the </w:t>
      </w:r>
      <w:proofErr w:type="gramStart"/>
      <w:r>
        <w:t>Father</w:t>
      </w:r>
      <w:proofErr w:type="gramEnd"/>
      <w:r>
        <w:t>? (v. 62)</w:t>
      </w:r>
    </w:p>
    <w:p w14:paraId="1F324CCE" w14:textId="3A909670" w:rsidR="00A34AE7" w:rsidRDefault="00A34AE7" w:rsidP="00A34AE7">
      <w:pPr>
        <w:pStyle w:val="ListParagraph"/>
        <w:numPr>
          <w:ilvl w:val="2"/>
          <w:numId w:val="3"/>
        </w:numPr>
      </w:pPr>
      <w:r>
        <w:t>The Spirit gives life, the flesh is of no profit (v. 63)</w:t>
      </w:r>
    </w:p>
    <w:p w14:paraId="722E258E" w14:textId="00523B6C" w:rsidR="00A34AE7" w:rsidRDefault="00A34AE7" w:rsidP="00A34AE7">
      <w:pPr>
        <w:pStyle w:val="ListParagraph"/>
        <w:numPr>
          <w:ilvl w:val="2"/>
          <w:numId w:val="3"/>
        </w:numPr>
      </w:pPr>
      <w:r>
        <w:t>Some of you don’t believe (v. 64)</w:t>
      </w:r>
    </w:p>
    <w:p w14:paraId="7BF8D1F5" w14:textId="3A72619D" w:rsidR="00A34AE7" w:rsidRDefault="00A34AE7" w:rsidP="00A34AE7">
      <w:pPr>
        <w:pStyle w:val="ListParagraph"/>
        <w:numPr>
          <w:ilvl w:val="2"/>
          <w:numId w:val="3"/>
        </w:numPr>
      </w:pPr>
      <w:r>
        <w:t xml:space="preserve">No one can come to me unless it is granted by the </w:t>
      </w:r>
      <w:proofErr w:type="gramStart"/>
      <w:r>
        <w:t>Father</w:t>
      </w:r>
      <w:proofErr w:type="gramEnd"/>
      <w:r>
        <w:t xml:space="preserve"> (v. 65)</w:t>
      </w:r>
    </w:p>
    <w:p w14:paraId="118F11DF" w14:textId="78038CDD" w:rsidR="00A34AE7" w:rsidRDefault="00A34AE7" w:rsidP="00A34AE7">
      <w:pPr>
        <w:pStyle w:val="ListParagraph"/>
        <w:numPr>
          <w:ilvl w:val="1"/>
          <w:numId w:val="3"/>
        </w:numPr>
      </w:pPr>
      <w:r>
        <w:t>The tragic result: Many turned back and no longer accompanied him” (v. 66)</w:t>
      </w:r>
    </w:p>
    <w:p w14:paraId="56E679C5" w14:textId="5925B89D" w:rsidR="004E17E6" w:rsidRDefault="004E17E6" w:rsidP="00A34AE7"/>
    <w:p w14:paraId="60EB098E" w14:textId="35175753" w:rsidR="004E17E6" w:rsidRDefault="00A34AE7" w:rsidP="004E17E6">
      <w:pPr>
        <w:pStyle w:val="ListParagraph"/>
        <w:numPr>
          <w:ilvl w:val="0"/>
          <w:numId w:val="3"/>
        </w:numPr>
      </w:pPr>
      <w:r w:rsidRPr="00A34AE7">
        <w:rPr>
          <w:b/>
          <w:bCs/>
          <w:i/>
          <w:iCs/>
          <w:u w:val="single"/>
        </w:rPr>
        <w:t>Believers</w:t>
      </w:r>
      <w:r>
        <w:t xml:space="preserve"> use bold </w:t>
      </w:r>
      <w:r w:rsidRPr="00A34AE7">
        <w:rPr>
          <w:b/>
          <w:bCs/>
          <w:i/>
          <w:iCs/>
          <w:u w:val="single"/>
        </w:rPr>
        <w:t>answers</w:t>
      </w:r>
      <w:r>
        <w:t xml:space="preserve"> to </w:t>
      </w:r>
      <w:r w:rsidRPr="00A34AE7">
        <w:rPr>
          <w:b/>
          <w:bCs/>
          <w:i/>
          <w:iCs/>
          <w:u w:val="single"/>
        </w:rPr>
        <w:t>joyfully</w:t>
      </w:r>
      <w:r>
        <w:t xml:space="preserve"> </w:t>
      </w:r>
      <w:r w:rsidRPr="00AF2420">
        <w:t xml:space="preserve">walk </w:t>
      </w:r>
      <w:r w:rsidRPr="00A34AE7">
        <w:rPr>
          <w:b/>
          <w:bCs/>
          <w:i/>
          <w:iCs/>
          <w:u w:val="single"/>
        </w:rPr>
        <w:t>with</w:t>
      </w:r>
      <w:r>
        <w:t xml:space="preserve"> Jesus (vv. 67-70)</w:t>
      </w:r>
    </w:p>
    <w:p w14:paraId="1CB0AAAB" w14:textId="42A613A1" w:rsidR="00A34AE7" w:rsidRDefault="00A34AE7" w:rsidP="00A34AE7">
      <w:pPr>
        <w:pStyle w:val="ListParagraph"/>
        <w:numPr>
          <w:ilvl w:val="1"/>
          <w:numId w:val="3"/>
        </w:numPr>
      </w:pPr>
      <w:r>
        <w:t>Jesus’ blunt question: “Do you want to go away too?” (v. 67)</w:t>
      </w:r>
    </w:p>
    <w:p w14:paraId="149F87B4" w14:textId="7E3B63D6" w:rsidR="00A34AE7" w:rsidRDefault="00A34AE7" w:rsidP="00A34AE7">
      <w:pPr>
        <w:pStyle w:val="ListParagraph"/>
        <w:numPr>
          <w:ilvl w:val="1"/>
          <w:numId w:val="3"/>
        </w:numPr>
      </w:pPr>
      <w:r>
        <w:t>Peters bold answer (v. 68-69)</w:t>
      </w:r>
    </w:p>
    <w:p w14:paraId="7B301048" w14:textId="40345A82" w:rsidR="00A34AE7" w:rsidRDefault="00A34AE7" w:rsidP="00A34AE7">
      <w:pPr>
        <w:pStyle w:val="ListParagraph"/>
        <w:numPr>
          <w:ilvl w:val="2"/>
          <w:numId w:val="3"/>
        </w:numPr>
      </w:pPr>
      <w:r>
        <w:t xml:space="preserve">To whom would we go? </w:t>
      </w:r>
      <w:r w:rsidR="00E654FA">
        <w:t>(v. 68a)</w:t>
      </w:r>
    </w:p>
    <w:p w14:paraId="65289C37" w14:textId="4B3E72E3" w:rsidR="00A34AE7" w:rsidRDefault="00A34AE7" w:rsidP="00A34AE7">
      <w:pPr>
        <w:pStyle w:val="ListParagraph"/>
        <w:numPr>
          <w:ilvl w:val="2"/>
          <w:numId w:val="3"/>
        </w:numPr>
      </w:pPr>
      <w:r>
        <w:t xml:space="preserve">You have the words of eternal life. </w:t>
      </w:r>
      <w:r w:rsidR="00E654FA">
        <w:t>(v. 68b)</w:t>
      </w:r>
    </w:p>
    <w:p w14:paraId="50451840" w14:textId="4D41EF14" w:rsidR="00A34AE7" w:rsidRDefault="00A34AE7" w:rsidP="00A34AE7">
      <w:pPr>
        <w:pStyle w:val="ListParagraph"/>
        <w:numPr>
          <w:ilvl w:val="2"/>
          <w:numId w:val="3"/>
        </w:numPr>
      </w:pPr>
      <w:r>
        <w:t xml:space="preserve">We believe you are the Holy </w:t>
      </w:r>
      <w:r w:rsidR="00E654FA">
        <w:t>O</w:t>
      </w:r>
      <w:r>
        <w:t xml:space="preserve">ne of </w:t>
      </w:r>
      <w:proofErr w:type="gramStart"/>
      <w:r>
        <w:t>God</w:t>
      </w:r>
      <w:r w:rsidR="00E654FA">
        <w:t xml:space="preserve">  (</w:t>
      </w:r>
      <w:proofErr w:type="gramEnd"/>
      <w:r w:rsidR="00E654FA">
        <w:t>v. 69a)</w:t>
      </w:r>
    </w:p>
    <w:p w14:paraId="5CE23E65" w14:textId="4E12E9F7" w:rsidR="00E654FA" w:rsidRDefault="00A34AE7" w:rsidP="00E654FA">
      <w:pPr>
        <w:pStyle w:val="ListParagraph"/>
        <w:numPr>
          <w:ilvl w:val="2"/>
          <w:numId w:val="3"/>
        </w:numPr>
      </w:pPr>
      <w:r>
        <w:t xml:space="preserve">We </w:t>
      </w:r>
      <w:r w:rsidR="00E654FA">
        <w:t xml:space="preserve">know </w:t>
      </w:r>
      <w:r>
        <w:t>(</w:t>
      </w:r>
      <w:r w:rsidR="00E654FA">
        <w:t>experientially</w:t>
      </w:r>
      <w:r>
        <w:t xml:space="preserve">) that you are the Holy </w:t>
      </w:r>
      <w:r w:rsidR="00E654FA">
        <w:t>O</w:t>
      </w:r>
      <w:r>
        <w:t xml:space="preserve">ne of God (v. </w:t>
      </w:r>
      <w:r w:rsidR="00E654FA">
        <w:t>69b)</w:t>
      </w:r>
      <w:r w:rsidR="00E654FA">
        <w:br/>
      </w:r>
    </w:p>
    <w:p w14:paraId="4040522D" w14:textId="79D5DB74" w:rsidR="00E654FA" w:rsidRDefault="00E654FA" w:rsidP="00E654FA">
      <w:r>
        <w:t>Points of Application:</w:t>
      </w:r>
    </w:p>
    <w:p w14:paraId="6905462E" w14:textId="77777777" w:rsidR="00E654FA" w:rsidRDefault="00E654FA" w:rsidP="00E654FA"/>
    <w:p w14:paraId="73C9C997" w14:textId="0CF46852" w:rsidR="00E654FA" w:rsidRDefault="00A90528" w:rsidP="00E654FA">
      <w:pPr>
        <w:pStyle w:val="ListParagraph"/>
        <w:numPr>
          <w:ilvl w:val="0"/>
          <w:numId w:val="4"/>
        </w:numPr>
      </w:pPr>
      <w:r>
        <w:t xml:space="preserve">We should </w:t>
      </w:r>
      <w:r w:rsidRPr="00AF2420">
        <w:rPr>
          <w:b/>
          <w:bCs/>
          <w:i/>
          <w:iCs/>
          <w:u w:val="single"/>
        </w:rPr>
        <w:t>avoid</w:t>
      </w:r>
      <w:r>
        <w:t xml:space="preserve"> the </w:t>
      </w:r>
      <w:r w:rsidRPr="00AF2420">
        <w:rPr>
          <w:b/>
          <w:bCs/>
          <w:i/>
          <w:iCs/>
          <w:u w:val="single"/>
        </w:rPr>
        <w:t>mistake</w:t>
      </w:r>
      <w:r>
        <w:t xml:space="preserve"> of walking away </w:t>
      </w:r>
      <w:r w:rsidR="00E83243">
        <w:t xml:space="preserve">from Jesus </w:t>
      </w:r>
      <w:r>
        <w:t>(v. 66)</w:t>
      </w:r>
    </w:p>
    <w:p w14:paraId="00CB46E4" w14:textId="3E7DB0F9" w:rsidR="00A90528" w:rsidRDefault="00A90528" w:rsidP="00E654FA">
      <w:pPr>
        <w:pStyle w:val="ListParagraph"/>
        <w:numPr>
          <w:ilvl w:val="0"/>
          <w:numId w:val="4"/>
        </w:numPr>
      </w:pPr>
      <w:r>
        <w:t xml:space="preserve">We should </w:t>
      </w:r>
      <w:r w:rsidRPr="00AF2420">
        <w:rPr>
          <w:b/>
          <w:bCs/>
          <w:i/>
          <w:iCs/>
          <w:u w:val="single"/>
        </w:rPr>
        <w:t>avoid</w:t>
      </w:r>
      <w:r>
        <w:t xml:space="preserve"> the</w:t>
      </w:r>
      <w:r w:rsidRPr="00AF2420">
        <w:rPr>
          <w:b/>
          <w:bCs/>
          <w:i/>
          <w:iCs/>
          <w:u w:val="single"/>
        </w:rPr>
        <w:t xml:space="preserve"> tragedy</w:t>
      </w:r>
      <w:r>
        <w:t xml:space="preserve"> of</w:t>
      </w:r>
      <w:r w:rsidRPr="00AF2420">
        <w:t xml:space="preserve"> Judas</w:t>
      </w:r>
      <w:r>
        <w:t xml:space="preserve"> (v. 70)</w:t>
      </w:r>
    </w:p>
    <w:p w14:paraId="692DF576" w14:textId="68125466" w:rsidR="00A90528" w:rsidRDefault="00A90528" w:rsidP="00A90528">
      <w:pPr>
        <w:pStyle w:val="ListParagraph"/>
        <w:numPr>
          <w:ilvl w:val="0"/>
          <w:numId w:val="4"/>
        </w:numPr>
      </w:pPr>
      <w:r>
        <w:t xml:space="preserve">We can </w:t>
      </w:r>
      <w:r w:rsidR="00E83243">
        <w:t>avoid bot</w:t>
      </w:r>
      <w:r>
        <w:t xml:space="preserve">h by </w:t>
      </w:r>
      <w:r w:rsidRPr="00AF2420">
        <w:rPr>
          <w:b/>
          <w:bCs/>
          <w:i/>
          <w:iCs/>
          <w:u w:val="single"/>
        </w:rPr>
        <w:t>adopting</w:t>
      </w:r>
      <w:r>
        <w:t xml:space="preserve"> the </w:t>
      </w:r>
      <w:r w:rsidRPr="00AF2420">
        <w:rPr>
          <w:b/>
          <w:bCs/>
          <w:i/>
          <w:iCs/>
          <w:u w:val="single"/>
        </w:rPr>
        <w:t>attitude</w:t>
      </w:r>
      <w:r>
        <w:t xml:space="preserve"> of Peter (v. 68)</w:t>
      </w:r>
    </w:p>
    <w:p w14:paraId="16975FAC" w14:textId="77777777" w:rsidR="004E17E6" w:rsidRDefault="004E17E6" w:rsidP="004E17E6"/>
    <w:p w14:paraId="71927BA5" w14:textId="77777777" w:rsidR="006915A2" w:rsidRPr="00280BDF" w:rsidRDefault="006915A2" w:rsidP="006915A2">
      <w:pPr>
        <w:autoSpaceDE w:val="0"/>
        <w:autoSpaceDN w:val="0"/>
        <w:adjustRightInd w:val="0"/>
        <w:spacing w:before="180"/>
        <w:jc w:val="both"/>
        <w:rPr>
          <w:rFonts w:ascii="Calibri" w:eastAsiaTheme="minorHAnsi" w:hAnsi="Calibri" w:cs="Calibri"/>
          <w:b/>
          <w:color w:val="EE0000"/>
          <w:kern w:val="0"/>
        </w:rPr>
      </w:pPr>
      <w:r w:rsidRPr="00280BDF">
        <w:rPr>
          <w:rFonts w:ascii="Open Sans" w:eastAsiaTheme="minorHAnsi" w:hAnsi="Open Sans" w:cs="Calibri"/>
          <w:b/>
          <w:color w:val="EE0000"/>
          <w:kern w:val="0"/>
          <w:sz w:val="20"/>
          <w:vertAlign w:val="superscript"/>
        </w:rPr>
        <w:t>60 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 xml:space="preserve">Therefore, when many of his disciples heard this, they said, “This teaching is hard. Who can accept it?” </w:t>
      </w:r>
    </w:p>
    <w:p w14:paraId="1B9E6DA4" w14:textId="77777777" w:rsidR="006915A2" w:rsidRPr="00280BDF" w:rsidRDefault="006915A2" w:rsidP="006915A2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color w:val="EE0000"/>
          <w:kern w:val="0"/>
        </w:rPr>
      </w:pPr>
      <w:r w:rsidRPr="00280BDF">
        <w:rPr>
          <w:rFonts w:ascii="Open Sans" w:eastAsiaTheme="minorHAnsi" w:hAnsi="Open Sans" w:cs="Calibri"/>
          <w:b/>
          <w:color w:val="EE0000"/>
          <w:kern w:val="0"/>
          <w:sz w:val="20"/>
          <w:vertAlign w:val="superscript"/>
        </w:rPr>
        <w:t>61 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 xml:space="preserve">Jesus, knowing in himself that his disciples were grumbling about this, asked them, “Does this offend you? </w:t>
      </w:r>
      <w:r w:rsidRPr="00280BDF">
        <w:rPr>
          <w:rFonts w:ascii="Open Sans" w:eastAsiaTheme="minorHAnsi" w:hAnsi="Open Sans" w:cs="Calibri"/>
          <w:b/>
          <w:color w:val="EE0000"/>
          <w:kern w:val="0"/>
          <w:sz w:val="20"/>
          <w:vertAlign w:val="superscript"/>
        </w:rPr>
        <w:t>62 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 xml:space="preserve">Then what if you were to observe the Son of Man ascending to where he was before? </w:t>
      </w:r>
      <w:r w:rsidRPr="00280BDF">
        <w:rPr>
          <w:rFonts w:ascii="Open Sans" w:eastAsiaTheme="minorHAnsi" w:hAnsi="Open Sans" w:cs="Calibri"/>
          <w:b/>
          <w:color w:val="EE0000"/>
          <w:kern w:val="0"/>
          <w:sz w:val="20"/>
          <w:vertAlign w:val="superscript"/>
        </w:rPr>
        <w:t>63 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 xml:space="preserve">The Spirit is the one who gives life. The flesh doesn’t help at all. The words that I have spoken to you are spirit and are life. </w:t>
      </w:r>
      <w:r w:rsidRPr="00280BDF">
        <w:rPr>
          <w:rFonts w:ascii="Open Sans" w:eastAsiaTheme="minorHAnsi" w:hAnsi="Open Sans" w:cs="Calibri"/>
          <w:b/>
          <w:color w:val="EE0000"/>
          <w:kern w:val="0"/>
          <w:sz w:val="20"/>
          <w:vertAlign w:val="superscript"/>
        </w:rPr>
        <w:t>64 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 xml:space="preserve">But there are some among you who don’t believe.” (For Jesus knew from the beginning those who did not believe and the one who would betray him.) </w:t>
      </w:r>
      <w:r w:rsidRPr="00280BDF">
        <w:rPr>
          <w:rFonts w:ascii="Open Sans" w:eastAsiaTheme="minorHAnsi" w:hAnsi="Open Sans" w:cs="Calibri"/>
          <w:b/>
          <w:color w:val="EE0000"/>
          <w:kern w:val="0"/>
          <w:sz w:val="20"/>
          <w:vertAlign w:val="superscript"/>
        </w:rPr>
        <w:t>65 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 xml:space="preserve">He said, “This is why I told you that no one can come to me unless it is granted to him by the Father.” </w:t>
      </w:r>
    </w:p>
    <w:p w14:paraId="27E0FA6E" w14:textId="77777777" w:rsidR="006915A2" w:rsidRPr="00280BDF" w:rsidRDefault="006915A2" w:rsidP="006915A2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color w:val="EE0000"/>
          <w:kern w:val="0"/>
        </w:rPr>
      </w:pPr>
      <w:r w:rsidRPr="00280BDF">
        <w:rPr>
          <w:rFonts w:ascii="Open Sans" w:eastAsiaTheme="minorHAnsi" w:hAnsi="Open Sans" w:cs="Calibri"/>
          <w:b/>
          <w:color w:val="EE0000"/>
          <w:kern w:val="0"/>
          <w:sz w:val="20"/>
          <w:vertAlign w:val="superscript"/>
        </w:rPr>
        <w:t>66 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 xml:space="preserve">From that moment many of his disciples turned back and no longer accompanied him. </w:t>
      </w:r>
      <w:r w:rsidRPr="00280BDF">
        <w:rPr>
          <w:rFonts w:ascii="Open Sans" w:eastAsiaTheme="minorHAnsi" w:hAnsi="Open Sans" w:cs="Calibri"/>
          <w:b/>
          <w:color w:val="EE0000"/>
          <w:kern w:val="0"/>
          <w:sz w:val="20"/>
          <w:vertAlign w:val="superscript"/>
        </w:rPr>
        <w:t>67 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 xml:space="preserve">So Jesus said to the Twelve, “You don’t want to go away too, do you?” </w:t>
      </w:r>
    </w:p>
    <w:p w14:paraId="7CF41D3B" w14:textId="77777777" w:rsidR="006915A2" w:rsidRPr="00280BDF" w:rsidRDefault="006915A2" w:rsidP="006915A2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color w:val="EE0000"/>
          <w:kern w:val="0"/>
        </w:rPr>
      </w:pPr>
      <w:r w:rsidRPr="00280BDF">
        <w:rPr>
          <w:rFonts w:ascii="Open Sans" w:eastAsiaTheme="minorHAnsi" w:hAnsi="Open Sans" w:cs="Calibri"/>
          <w:b/>
          <w:color w:val="EE0000"/>
          <w:kern w:val="0"/>
          <w:sz w:val="20"/>
          <w:vertAlign w:val="superscript"/>
        </w:rPr>
        <w:t>68 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 xml:space="preserve">Simon Peter answered, “Lord, to whom will we go? You have the words of eternal life. </w:t>
      </w:r>
      <w:r w:rsidRPr="00280BDF">
        <w:rPr>
          <w:rFonts w:ascii="Open Sans" w:eastAsiaTheme="minorHAnsi" w:hAnsi="Open Sans" w:cs="Calibri"/>
          <w:b/>
          <w:color w:val="EE0000"/>
          <w:kern w:val="0"/>
          <w:sz w:val="20"/>
          <w:vertAlign w:val="superscript"/>
        </w:rPr>
        <w:t>69 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>We have come to believe and know that you are the Holy One of God.”</w:t>
      </w:r>
      <w:r w:rsidRPr="00280BDF">
        <w:rPr>
          <w:rFonts w:ascii="Calibri" w:eastAsiaTheme="minorHAnsi" w:hAnsi="Calibri" w:cs="Calibri"/>
          <w:b/>
          <w:color w:val="EE0000"/>
          <w:kern w:val="0"/>
          <w:vertAlign w:val="superscript"/>
        </w:rPr>
        <w:t>,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 xml:space="preserve"> </w:t>
      </w:r>
    </w:p>
    <w:p w14:paraId="3C126761" w14:textId="77777777" w:rsidR="006915A2" w:rsidRPr="00280BDF" w:rsidRDefault="006915A2" w:rsidP="006915A2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color w:val="EE0000"/>
          <w:kern w:val="0"/>
        </w:rPr>
      </w:pPr>
      <w:r w:rsidRPr="00280BDF">
        <w:rPr>
          <w:rFonts w:ascii="Open Sans" w:eastAsiaTheme="minorHAnsi" w:hAnsi="Open Sans" w:cs="Calibri"/>
          <w:b/>
          <w:color w:val="EE0000"/>
          <w:kern w:val="0"/>
          <w:sz w:val="20"/>
          <w:vertAlign w:val="superscript"/>
        </w:rPr>
        <w:t>70 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 xml:space="preserve">Jesus replied to them, “Didn’t I choose you, the Twelve? Yet one of you is a devil.” </w:t>
      </w:r>
      <w:r w:rsidRPr="00280BDF">
        <w:rPr>
          <w:rFonts w:ascii="Open Sans" w:eastAsiaTheme="minorHAnsi" w:hAnsi="Open Sans" w:cs="Calibri"/>
          <w:b/>
          <w:color w:val="EE0000"/>
          <w:kern w:val="0"/>
          <w:sz w:val="20"/>
          <w:vertAlign w:val="superscript"/>
        </w:rPr>
        <w:t>71 </w:t>
      </w:r>
      <w:r w:rsidRPr="00280BDF">
        <w:rPr>
          <w:rFonts w:ascii="Calibri" w:eastAsiaTheme="minorHAnsi" w:hAnsi="Calibri" w:cs="Calibri"/>
          <w:b/>
          <w:color w:val="EE0000"/>
          <w:kern w:val="0"/>
        </w:rPr>
        <w:t>He was referring to Judas, Simon Iscariot’s son, one of the Twelve, because he was going to betray him.</w:t>
      </w:r>
    </w:p>
    <w:p w14:paraId="528F8F6E" w14:textId="77777777" w:rsidR="004E17E6" w:rsidRDefault="004E17E6" w:rsidP="004E17E6"/>
    <w:p w14:paraId="4F4B61B9" w14:textId="13B032F4" w:rsidR="004E17E6" w:rsidRDefault="004E17E6" w:rsidP="00E654FA">
      <w:pPr>
        <w:tabs>
          <w:tab w:val="left" w:pos="8523"/>
        </w:tabs>
      </w:pPr>
    </w:p>
    <w:sectPr w:rsidR="004E17E6" w:rsidSect="0001475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D0F84"/>
    <w:multiLevelType w:val="hybridMultilevel"/>
    <w:tmpl w:val="CCD0C2C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F120C"/>
    <w:multiLevelType w:val="hybridMultilevel"/>
    <w:tmpl w:val="0AD60F34"/>
    <w:lvl w:ilvl="0" w:tplc="3A8A305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0993"/>
    <w:multiLevelType w:val="hybridMultilevel"/>
    <w:tmpl w:val="8CDAFE24"/>
    <w:lvl w:ilvl="0" w:tplc="F8B86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42E0A"/>
    <w:multiLevelType w:val="hybridMultilevel"/>
    <w:tmpl w:val="3A4A9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227137">
    <w:abstractNumId w:val="3"/>
  </w:num>
  <w:num w:numId="2" w16cid:durableId="1564171298">
    <w:abstractNumId w:val="1"/>
  </w:num>
  <w:num w:numId="3" w16cid:durableId="1744065092">
    <w:abstractNumId w:val="0"/>
  </w:num>
  <w:num w:numId="4" w16cid:durableId="111806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E6"/>
    <w:rsid w:val="00014755"/>
    <w:rsid w:val="00037D44"/>
    <w:rsid w:val="000834F7"/>
    <w:rsid w:val="000872BE"/>
    <w:rsid w:val="000D4A77"/>
    <w:rsid w:val="000D53CB"/>
    <w:rsid w:val="000F6496"/>
    <w:rsid w:val="0014791C"/>
    <w:rsid w:val="001707DC"/>
    <w:rsid w:val="00332B1A"/>
    <w:rsid w:val="00375CB6"/>
    <w:rsid w:val="003D1496"/>
    <w:rsid w:val="00424179"/>
    <w:rsid w:val="00433AF1"/>
    <w:rsid w:val="0045297B"/>
    <w:rsid w:val="004E17E6"/>
    <w:rsid w:val="004F2A0B"/>
    <w:rsid w:val="005E565B"/>
    <w:rsid w:val="006915A2"/>
    <w:rsid w:val="006A2D97"/>
    <w:rsid w:val="006A3CF8"/>
    <w:rsid w:val="00802182"/>
    <w:rsid w:val="00830F10"/>
    <w:rsid w:val="008D1C0C"/>
    <w:rsid w:val="008D46E0"/>
    <w:rsid w:val="008F64E6"/>
    <w:rsid w:val="009D0DE2"/>
    <w:rsid w:val="009E6968"/>
    <w:rsid w:val="009E7D44"/>
    <w:rsid w:val="009F33CD"/>
    <w:rsid w:val="00A34AE7"/>
    <w:rsid w:val="00A90528"/>
    <w:rsid w:val="00AB1833"/>
    <w:rsid w:val="00AF2420"/>
    <w:rsid w:val="00B20AE7"/>
    <w:rsid w:val="00B31F35"/>
    <w:rsid w:val="00C50904"/>
    <w:rsid w:val="00C90B47"/>
    <w:rsid w:val="00CD252F"/>
    <w:rsid w:val="00CF1831"/>
    <w:rsid w:val="00D05EE7"/>
    <w:rsid w:val="00D46EFA"/>
    <w:rsid w:val="00D62A2D"/>
    <w:rsid w:val="00DB228D"/>
    <w:rsid w:val="00E00949"/>
    <w:rsid w:val="00E654FA"/>
    <w:rsid w:val="00E83243"/>
    <w:rsid w:val="00E9730A"/>
    <w:rsid w:val="00F05EC5"/>
    <w:rsid w:val="00FA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48B77"/>
  <w15:chartTrackingRefBased/>
  <w15:docId w15:val="{4AABE77A-4092-0D45-A8CD-CF4396A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7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7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7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7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7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7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7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7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7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7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7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7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7E6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7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7E6"/>
    <w:rPr>
      <w:rFonts w:eastAsiaTheme="minorEastAsia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Veal</dc:creator>
  <cp:keywords/>
  <dc:description/>
  <cp:lastModifiedBy>Brian Veal</cp:lastModifiedBy>
  <cp:revision>3</cp:revision>
  <cp:lastPrinted>2025-08-26T23:39:00Z</cp:lastPrinted>
  <dcterms:created xsi:type="dcterms:W3CDTF">2025-08-27T15:42:00Z</dcterms:created>
  <dcterms:modified xsi:type="dcterms:W3CDTF">2025-08-28T21:30:00Z</dcterms:modified>
</cp:coreProperties>
</file>